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670"/>
        </w:tabs>
        <w:rPr/>
      </w:pPr>
      <w:r w:rsidDel="00000000" w:rsidR="00000000" w:rsidRPr="00000000">
        <w:rPr>
          <w:rtl w:val="0"/>
        </w:rPr>
      </w:r>
    </w:p>
    <w:p w:rsidR="00000000" w:rsidDel="00000000" w:rsidP="00000000" w:rsidRDefault="00000000" w:rsidRPr="00000000" w14:paraId="00000002">
      <w:pPr>
        <w:tabs>
          <w:tab w:val="left" w:pos="2670"/>
        </w:tabs>
        <w:jc w:val="center"/>
        <w:rPr>
          <w:b w:val="1"/>
        </w:rPr>
      </w:pPr>
      <w:r w:rsidDel="00000000" w:rsidR="00000000" w:rsidRPr="00000000">
        <w:rPr>
          <w:b w:val="1"/>
          <w:rtl w:val="0"/>
        </w:rPr>
        <w:t xml:space="preserve">Subject: Letter of Intent – Engagement to plan and implement eHUBS</w:t>
      </w:r>
    </w:p>
    <w:p w:rsidR="00000000" w:rsidDel="00000000" w:rsidP="00000000" w:rsidRDefault="00000000" w:rsidRPr="00000000" w14:paraId="00000003">
      <w:pPr>
        <w:tabs>
          <w:tab w:val="left" w:pos="2670"/>
        </w:tabs>
        <w:rPr/>
      </w:pPr>
      <w:r w:rsidDel="00000000" w:rsidR="00000000" w:rsidRPr="00000000">
        <w:rPr>
          <w:rtl w:val="0"/>
        </w:rPr>
        <w:t xml:space="preserve">The purpose of this letter is to express the interest of </w:t>
      </w:r>
      <w:r w:rsidDel="00000000" w:rsidR="00000000" w:rsidRPr="00000000">
        <w:rPr>
          <w:color w:val="808080"/>
          <w:highlight w:val="yellow"/>
          <w:rtl w:val="0"/>
        </w:rPr>
        <w:t xml:space="preserve">local authority</w:t>
      </w:r>
      <w:r w:rsidDel="00000000" w:rsidR="00000000" w:rsidRPr="00000000">
        <w:rPr>
          <w:rtl w:val="0"/>
        </w:rPr>
        <w:t xml:space="preserve"> in the concept of eHUBS, developed within the Interreg-funded eHUBS project, in order to stimulate the use of electric and shared mobility in its authorised region. </w:t>
        <w:tab/>
        <w:tab/>
      </w:r>
    </w:p>
    <w:p w:rsidR="00000000" w:rsidDel="00000000" w:rsidP="00000000" w:rsidRDefault="00000000" w:rsidRPr="00000000" w14:paraId="00000004">
      <w:pPr>
        <w:tabs>
          <w:tab w:val="left" w:pos="2670"/>
        </w:tabs>
        <w:rPr/>
      </w:pPr>
      <w:r w:rsidDel="00000000" w:rsidR="00000000" w:rsidRPr="00000000">
        <w:rPr>
          <w:rtl w:val="0"/>
        </w:rPr>
        <w:t xml:space="preserve">The eHUBS project aims to foster the uptake of electric and shared mobility modes by creating dedicated physical infrastructure, accompanied by </w:t>
      </w:r>
      <w:r w:rsidDel="00000000" w:rsidR="00000000" w:rsidRPr="00000000">
        <w:rPr>
          <w:rtl w:val="0"/>
        </w:rPr>
        <w:t xml:space="preserve">digital infrastructure</w:t>
      </w:r>
      <w:r w:rsidDel="00000000" w:rsidR="00000000" w:rsidRPr="00000000">
        <w:rPr>
          <w:rtl w:val="0"/>
        </w:rPr>
        <w:t xml:space="preserve"> so as to improve users’ experience and facilitate cooperation with private actors. In order to</w:t>
      </w:r>
      <w:r w:rsidDel="00000000" w:rsidR="00000000" w:rsidRPr="00000000">
        <w:rPr>
          <w:rtl w:val="0"/>
        </w:rPr>
        <w:t xml:space="preserve"> support and guide local authorities in the planning, implementation and evaluation process of eHUBS, the eHUBS project created a blueprint, based on our experiences. </w:t>
      </w:r>
    </w:p>
    <w:p w:rsidR="00000000" w:rsidDel="00000000" w:rsidP="00000000" w:rsidRDefault="00000000" w:rsidRPr="00000000" w14:paraId="00000005">
      <w:pPr>
        <w:tabs>
          <w:tab w:val="left" w:pos="2670"/>
        </w:tabs>
        <w:rPr/>
      </w:pPr>
      <w:r w:rsidDel="00000000" w:rsidR="00000000" w:rsidRPr="00000000">
        <w:rPr>
          <w:color w:val="808080"/>
          <w:highlight w:val="yellow"/>
          <w:rtl w:val="0"/>
        </w:rPr>
        <w:t xml:space="preserve">local authority</w:t>
      </w:r>
      <w:r w:rsidDel="00000000" w:rsidR="00000000" w:rsidRPr="00000000">
        <w:rPr>
          <w:rtl w:val="0"/>
        </w:rPr>
        <w:t xml:space="preserve"> is willing to consider the approach and recommendations explained in the blueprint. </w:t>
      </w:r>
      <w:r w:rsidDel="00000000" w:rsidR="00000000" w:rsidRPr="00000000">
        <w:rPr>
          <w:rtl w:val="0"/>
        </w:rPr>
        <w:t xml:space="preserve">This implies planning for the development of eHUBS, hereby looking for possibilities to free up public space as to install required infrastructure (e.g. reserved parking space, charging point, signalisation). Alongside the physical infrastructure, a complementary digital infrastructure is strongly recommended. </w:t>
      </w:r>
      <w:r w:rsidDel="00000000" w:rsidR="00000000" w:rsidRPr="00000000">
        <w:rPr>
          <w:color w:val="808080"/>
          <w:highlight w:val="yellow"/>
          <w:rtl w:val="0"/>
        </w:rPr>
        <w:t xml:space="preserve">local authority</w:t>
      </w:r>
      <w:r w:rsidDel="00000000" w:rsidR="00000000" w:rsidRPr="00000000">
        <w:rPr>
          <w:rtl w:val="0"/>
        </w:rPr>
        <w:t xml:space="preserve"> therefore intends to use the data sharing standards principles, CDS-M and TOMP-API, developed and defined by the eHUBS consortium. This ensures a convenient integration of public transport and shared mobility into a MaaS platform on a European-wide scale.</w:t>
      </w:r>
      <w:r w:rsidDel="00000000" w:rsidR="00000000" w:rsidRPr="00000000">
        <w:rPr>
          <w:rtl w:val="0"/>
        </w:rPr>
      </w:r>
    </w:p>
    <w:p w:rsidR="00000000" w:rsidDel="00000000" w:rsidP="00000000" w:rsidRDefault="00000000" w:rsidRPr="00000000" w14:paraId="00000006">
      <w:pPr>
        <w:tabs>
          <w:tab w:val="left" w:pos="2670"/>
        </w:tabs>
        <w:rPr/>
      </w:pPr>
      <w:r w:rsidDel="00000000" w:rsidR="00000000" w:rsidRPr="00000000">
        <w:rPr>
          <w:rtl w:val="0"/>
        </w:rPr>
        <w:t xml:space="preserve">In order to make sure that a qualitative and recognisable offer of shared and electric mobility will be rolled out, </w:t>
      </w:r>
      <w:r w:rsidDel="00000000" w:rsidR="00000000" w:rsidRPr="00000000">
        <w:rPr>
          <w:color w:val="808080"/>
          <w:highlight w:val="yellow"/>
          <w:rtl w:val="0"/>
        </w:rPr>
        <w:t xml:space="preserve">local authority</w:t>
      </w:r>
      <w:r w:rsidDel="00000000" w:rsidR="00000000" w:rsidRPr="00000000">
        <w:rPr>
          <w:rtl w:val="0"/>
        </w:rPr>
        <w:t xml:space="preserve"> will define its minimum service levels towards shared mobility providers based on the service level agreement draft of the eHUBS project. Moreover, </w:t>
      </w:r>
      <w:r w:rsidDel="00000000" w:rsidR="00000000" w:rsidRPr="00000000">
        <w:rPr>
          <w:color w:val="808080"/>
          <w:highlight w:val="yellow"/>
          <w:rtl w:val="0"/>
        </w:rPr>
        <w:t xml:space="preserve">local authority</w:t>
      </w:r>
      <w:r w:rsidDel="00000000" w:rsidR="00000000" w:rsidRPr="00000000">
        <w:rPr>
          <w:rtl w:val="0"/>
        </w:rPr>
        <w:t xml:space="preserve"> will consult the </w:t>
      </w:r>
      <w:r w:rsidDel="00000000" w:rsidR="00000000" w:rsidRPr="00000000">
        <w:rPr>
          <w:rtl w:val="0"/>
        </w:rPr>
        <w:t xml:space="preserve">eHUBS branding guidelines and consider the use of the shared mobility icons </w:t>
      </w:r>
      <w:r w:rsidDel="00000000" w:rsidR="00000000" w:rsidRPr="00000000">
        <w:rPr>
          <w:rtl w:val="0"/>
        </w:rPr>
        <w:t xml:space="preserve">provided in these guidelines, with the aim of having a standardised set of icons for different shared mobility modes across NW-Europe.</w:t>
      </w:r>
    </w:p>
    <w:p w:rsidR="00000000" w:rsidDel="00000000" w:rsidP="00000000" w:rsidRDefault="00000000" w:rsidRPr="00000000" w14:paraId="00000007">
      <w:pPr>
        <w:tabs>
          <w:tab w:val="left" w:pos="2670"/>
        </w:tabs>
        <w:rPr/>
      </w:pPr>
      <w:bookmarkStart w:colFirst="0" w:colLast="0" w:name="_heading=h.gjdgxs" w:id="0"/>
      <w:bookmarkEnd w:id="0"/>
      <w:r w:rsidDel="00000000" w:rsidR="00000000" w:rsidRPr="00000000">
        <w:rPr>
          <w:rtl w:val="0"/>
        </w:rPr>
        <w:t xml:space="preserve">Taking the best-practices and guidelines of the eHUBS project into account, </w:t>
      </w:r>
      <w:r w:rsidDel="00000000" w:rsidR="00000000" w:rsidRPr="00000000">
        <w:rPr>
          <w:color w:val="808080"/>
          <w:highlight w:val="yellow"/>
          <w:rtl w:val="0"/>
        </w:rPr>
        <w:t xml:space="preserve">local authority</w:t>
      </w:r>
      <w:r w:rsidDel="00000000" w:rsidR="00000000" w:rsidRPr="00000000">
        <w:rPr>
          <w:rtl w:val="0"/>
        </w:rPr>
        <w:t xml:space="preserve"> is willing to contribute to the objective of creating a sustainable mobility environment, by means of gathering information and seeking opportunities to install eHUBS. After this consultation phase, </w:t>
      </w:r>
      <w:r w:rsidDel="00000000" w:rsidR="00000000" w:rsidRPr="00000000">
        <w:rPr>
          <w:color w:val="808080"/>
          <w:highlight w:val="yellow"/>
          <w:rtl w:val="0"/>
        </w:rPr>
        <w:t xml:space="preserve">local authority</w:t>
      </w:r>
      <w:r w:rsidDel="00000000" w:rsidR="00000000" w:rsidRPr="00000000">
        <w:rPr>
          <w:rtl w:val="0"/>
        </w:rPr>
        <w:t xml:space="preserve"> will evaluate the possibility of actually planning for and implementing eHUBS in its region. </w:t>
      </w:r>
    </w:p>
    <w:p w:rsidR="00000000" w:rsidDel="00000000" w:rsidP="00000000" w:rsidRDefault="00000000" w:rsidRPr="00000000" w14:paraId="00000008">
      <w:pPr>
        <w:tabs>
          <w:tab w:val="left" w:pos="2670"/>
        </w:tabs>
        <w:rPr/>
      </w:pP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8"/>
        <w:gridCol w:w="142"/>
        <w:gridCol w:w="694"/>
        <w:gridCol w:w="236"/>
        <w:gridCol w:w="6526"/>
        <w:tblGridChange w:id="0">
          <w:tblGrid>
            <w:gridCol w:w="1418"/>
            <w:gridCol w:w="142"/>
            <w:gridCol w:w="694"/>
            <w:gridCol w:w="236"/>
            <w:gridCol w:w="6526"/>
          </w:tblGrid>
        </w:tblGridChange>
      </w:tblGrid>
      <w:tr>
        <w:trPr>
          <w:cantSplit w:val="0"/>
          <w:tblHeader w:val="0"/>
        </w:trPr>
        <w:tc>
          <w:tcPr>
            <w:gridSpan w:val="2"/>
          </w:tcPr>
          <w:p w:rsidR="00000000" w:rsidDel="00000000" w:rsidP="00000000" w:rsidRDefault="00000000" w:rsidRPr="00000000" w14:paraId="00000009">
            <w:pPr>
              <w:rPr/>
            </w:pPr>
            <w:r w:rsidDel="00000000" w:rsidR="00000000" w:rsidRPr="00000000">
              <w:rPr>
                <w:color w:val="808080"/>
                <w:highlight w:val="yellow"/>
                <w:rtl w:val="0"/>
              </w:rPr>
              <w:t xml:space="preserve">First Name</w:t>
            </w:r>
            <w:r w:rsidDel="00000000" w:rsidR="00000000" w:rsidRPr="00000000">
              <w:rPr>
                <w:rtl w:val="0"/>
              </w:rPr>
            </w:r>
          </w:p>
        </w:tc>
        <w:tc>
          <w:tcPr>
            <w:gridSpan w:val="3"/>
          </w:tcPr>
          <w:p w:rsidR="00000000" w:rsidDel="00000000" w:rsidP="00000000" w:rsidRDefault="00000000" w:rsidRPr="00000000" w14:paraId="0000000B">
            <w:pPr>
              <w:rPr/>
            </w:pPr>
            <w:r w:rsidDel="00000000" w:rsidR="00000000" w:rsidRPr="00000000">
              <w:rPr>
                <w:color w:val="808080"/>
                <w:highlight w:val="yellow"/>
                <w:rtl w:val="0"/>
              </w:rPr>
              <w:t xml:space="preserve">Last Name</w:t>
            </w:r>
            <w:r w:rsidDel="00000000" w:rsidR="00000000" w:rsidRPr="00000000">
              <w:rPr>
                <w:rtl w:val="0"/>
              </w:rPr>
            </w:r>
          </w:p>
        </w:tc>
      </w:tr>
      <w:tr>
        <w:trPr>
          <w:cantSplit w:val="0"/>
          <w:tblHeader w:val="0"/>
        </w:trPr>
        <w:tc>
          <w:tcPr>
            <w:gridSpan w:val="5"/>
          </w:tcPr>
          <w:p w:rsidR="00000000" w:rsidDel="00000000" w:rsidP="00000000" w:rsidRDefault="00000000" w:rsidRPr="00000000" w14:paraId="0000000E">
            <w:pPr>
              <w:rPr/>
            </w:pPr>
            <w:r w:rsidDel="00000000" w:rsidR="00000000" w:rsidRPr="00000000">
              <w:rPr>
                <w:color w:val="808080"/>
                <w:highlight w:val="yellow"/>
                <w:rtl w:val="0"/>
              </w:rPr>
              <w:t xml:space="preserve">Title/Position</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On behalf of</w:t>
            </w:r>
          </w:p>
          <w:p w:rsidR="00000000" w:rsidDel="00000000" w:rsidP="00000000" w:rsidRDefault="00000000" w:rsidRPr="00000000" w14:paraId="00000014">
            <w:pPr>
              <w:rPr/>
            </w:pPr>
            <w:r w:rsidDel="00000000" w:rsidR="00000000" w:rsidRPr="00000000">
              <w:rPr>
                <w:rtl w:val="0"/>
              </w:rPr>
            </w:r>
          </w:p>
        </w:tc>
        <w:tc>
          <w:tcPr>
            <w:gridSpan w:val="4"/>
          </w:tcPr>
          <w:p w:rsidR="00000000" w:rsidDel="00000000" w:rsidP="00000000" w:rsidRDefault="00000000" w:rsidRPr="00000000" w14:paraId="00000015">
            <w:pPr>
              <w:rPr/>
            </w:pPr>
            <w:r w:rsidDel="00000000" w:rsidR="00000000" w:rsidRPr="00000000">
              <w:rPr>
                <w:color w:val="808080"/>
                <w:highlight w:val="yellow"/>
                <w:rtl w:val="0"/>
              </w:rPr>
              <w:t xml:space="preserve">Local authority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rHeight w:val="537" w:hRule="atLeast"/>
          <w:tblHeader w:val="0"/>
        </w:trPr>
        <w:tc>
          <w:tcPr>
            <w:gridSpan w:val="3"/>
            <w:vAlign w:val="bottom"/>
          </w:tcPr>
          <w:p w:rsidR="00000000" w:rsidDel="00000000" w:rsidP="00000000" w:rsidRDefault="00000000" w:rsidRPr="00000000" w14:paraId="0000001A">
            <w:pPr>
              <w:rPr>
                <w:color w:val="000000"/>
              </w:rPr>
            </w:pPr>
            <w:r w:rsidDel="00000000" w:rsidR="00000000" w:rsidRPr="00000000">
              <w:rPr>
                <w:color w:val="000000"/>
                <w:rtl w:val="0"/>
              </w:rPr>
              <w:t xml:space="preserve">Signature and Date</w:t>
            </w:r>
          </w:p>
        </w:tc>
        <w:tc>
          <w:tcPr>
            <w:tcBorders>
              <w:bottom w:color="000000" w:space="0" w:sz="4" w:val="single"/>
            </w:tcBorders>
          </w:tcPr>
          <w:p w:rsidR="00000000" w:rsidDel="00000000" w:rsidP="00000000" w:rsidRDefault="00000000" w:rsidRPr="00000000" w14:paraId="0000001D">
            <w:pPr>
              <w:rPr>
                <w:color w:val="80808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E">
            <w:pPr>
              <w:jc w:val="right"/>
              <w:rPr>
                <w:color w:val="808080"/>
              </w:rPr>
            </w:pPr>
            <w:r w:rsidDel="00000000" w:rsidR="00000000" w:rsidRPr="00000000">
              <w:rPr>
                <w:color w:val="808080"/>
                <w:highlight w:val="yellow"/>
                <w:rtl w:val="0"/>
              </w:rPr>
              <w:t xml:space="preserve">Date of Signature</w:t>
            </w:r>
            <w:r w:rsidDel="00000000" w:rsidR="00000000" w:rsidRPr="00000000">
              <w:rPr>
                <w:rtl w:val="0"/>
              </w:rPr>
            </w:r>
          </w:p>
        </w:tc>
      </w:tr>
    </w:tbl>
    <w:p w:rsidR="00000000" w:rsidDel="00000000" w:rsidP="00000000" w:rsidRDefault="00000000" w:rsidRPr="00000000" w14:paraId="0000001F">
      <w:pPr>
        <w:tabs>
          <w:tab w:val="left" w:pos="2670"/>
        </w:tabs>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Logo/s</w:t>
    </w:r>
    <w:r w:rsidDel="00000000" w:rsidR="00000000" w:rsidRPr="00000000">
      <w:rPr>
        <w:highlight w:val="yellow"/>
        <w:rtl w:val="0"/>
      </w:rPr>
      <w:t xml:space="preserve">tamp</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of local authority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76350" cy="1276350"/>
          <wp:effectExtent b="0" l="0" r="0" t="0"/>
          <wp:docPr descr="A close up of a logo&#10;&#10;Description automatically generated" id="4" name="image2.png"/>
          <a:graphic>
            <a:graphicData uri="http://schemas.openxmlformats.org/drawingml/2006/picture">
              <pic:pic>
                <pic:nvPicPr>
                  <pic:cNvPr descr="A close up of a logo&#10;&#10;Description automatically generated" id="0" name="image2.png"/>
                  <pic:cNvPicPr preferRelativeResize="0"/>
                </pic:nvPicPr>
                <pic:blipFill>
                  <a:blip r:embed="rId1"/>
                  <a:srcRect b="0" l="0" r="0" t="0"/>
                  <a:stretch>
                    <a:fillRect/>
                  </a:stretch>
                </pic:blipFill>
                <pic:spPr>
                  <a:xfrm>
                    <a:off x="0" y="0"/>
                    <a:ext cx="1276350" cy="12763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1029" cy="923338"/>
          <wp:effectExtent b="0" l="0" r="0" t="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41029" cy="923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1866EC"/>
    <w:rPr>
      <w:color w:val="808080"/>
    </w:rPr>
  </w:style>
  <w:style w:type="table" w:styleId="TableGrid">
    <w:name w:val="Table Grid"/>
    <w:basedOn w:val="TableNormal"/>
    <w:uiPriority w:val="39"/>
    <w:rsid w:val="00C9341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376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76D1"/>
  </w:style>
  <w:style w:type="paragraph" w:styleId="Footer">
    <w:name w:val="footer"/>
    <w:basedOn w:val="Normal"/>
    <w:link w:val="FooterChar"/>
    <w:uiPriority w:val="99"/>
    <w:unhideWhenUsed w:val="1"/>
    <w:rsid w:val="007376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76D1"/>
  </w:style>
  <w:style w:type="paragraph" w:styleId="BalloonText">
    <w:name w:val="Balloon Text"/>
    <w:basedOn w:val="Normal"/>
    <w:link w:val="BalloonTextChar"/>
    <w:uiPriority w:val="99"/>
    <w:semiHidden w:val="1"/>
    <w:unhideWhenUsed w:val="1"/>
    <w:rsid w:val="007376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76D1"/>
    <w:rPr>
      <w:rFonts w:ascii="Segoe UI" w:cs="Segoe UI" w:hAnsi="Segoe UI"/>
      <w:sz w:val="18"/>
      <w:szCs w:val="18"/>
    </w:rPr>
  </w:style>
  <w:style w:type="paragraph" w:styleId="ListParagraph">
    <w:name w:val="List Paragraph"/>
    <w:basedOn w:val="Normal"/>
    <w:uiPriority w:val="34"/>
    <w:qFormat w:val="1"/>
    <w:rsid w:val="00314C7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1FMZRw4g8se8nPNPVFCgOC/2Q==">AMUW2mVPAunRcRcFF1wxLsNIV8k8YiENVNSoAmxc0wSj1SnSs4w1ioW3dIsU3t8pOoOo4wZfkTTexOgKEZOhAaNMRS2zJKt6bbYLGBTjGefTUCK0Egxx4PRZU9Tu9dyawSOJuvtk6iPt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6" ma:contentTypeDescription="Create a new document." ma:contentTypeScope="" ma:versionID="e4d129b0767a8f97d3c31ffc7bd9d4e9">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9d6d272d40123063a0bcd99aabb89d57"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4F77746-7CE9-443F-BCD3-4E9B8AD41982}"/>
</file>

<file path=customXML/itemProps3.xml><?xml version="1.0" encoding="utf-8"?>
<ds:datastoreItem xmlns:ds="http://schemas.openxmlformats.org/officeDocument/2006/customXml" ds:itemID="{E8F88C75-DFE8-44E0-884D-643D16A82A1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2020-05-20T14:48:00Z</dcterms:created>
  <dc:creator>Elnert Coenegrachts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0x010100AC05DA6FF3C4D6419D8D94721E183A70</vt:lpwstr>
  </property>
</Properties>
</file>