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4"/>
        <w:tblpPr w:leftFromText="180" w:rightFromText="180" w:vertAnchor="text" w:horzAnchor="margin" w:tblpX="-10" w:tblpY="206"/>
        <w:tblW w:w="5000" w:type="pct"/>
        <w:tblBorders>
          <w:top w:val="single" w:sz="4" w:space="0" w:color="FDC608"/>
          <w:left w:val="single" w:sz="4" w:space="0" w:color="FDC608"/>
          <w:bottom w:val="single" w:sz="4" w:space="0" w:color="FDC608"/>
          <w:right w:val="single" w:sz="4" w:space="0" w:color="FDC608"/>
          <w:insideH w:val="single" w:sz="6" w:space="0" w:color="FDC608"/>
          <w:insideV w:val="single" w:sz="6" w:space="0" w:color="FDC608"/>
        </w:tblBorders>
        <w:shd w:val="clear" w:color="auto" w:fill="FDC608"/>
        <w:tblLayout w:type="fixed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332B57" w:rsidRPr="00917BAA" w14:paraId="4E2E17AE" w14:textId="33132FA9" w:rsidTr="0033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  <w:shd w:val="clear" w:color="auto" w:fill="FDC608"/>
          </w:tcPr>
          <w:p w14:paraId="7558D675" w14:textId="77777777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b w:val="0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Study/Report</w:t>
            </w:r>
          </w:p>
        </w:tc>
        <w:tc>
          <w:tcPr>
            <w:tcW w:w="833" w:type="pct"/>
            <w:shd w:val="clear" w:color="auto" w:fill="FDC608"/>
          </w:tcPr>
          <w:p w14:paraId="6C28485A" w14:textId="77777777" w:rsidR="00332B57" w:rsidRPr="00917BAA" w:rsidRDefault="00332B57" w:rsidP="00BC10F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Technological</w:t>
            </w:r>
          </w:p>
        </w:tc>
        <w:tc>
          <w:tcPr>
            <w:tcW w:w="833" w:type="pct"/>
            <w:shd w:val="clear" w:color="auto" w:fill="FDC608"/>
          </w:tcPr>
          <w:p w14:paraId="606C9CA7" w14:textId="77777777" w:rsidR="00332B57" w:rsidRPr="00917BAA" w:rsidRDefault="00332B57" w:rsidP="00BC10F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Economical/Supply chain</w:t>
            </w:r>
          </w:p>
        </w:tc>
        <w:tc>
          <w:tcPr>
            <w:tcW w:w="833" w:type="pct"/>
            <w:shd w:val="clear" w:color="auto" w:fill="FDC608"/>
          </w:tcPr>
          <w:p w14:paraId="41C2AB87" w14:textId="77777777" w:rsidR="00332B57" w:rsidRPr="00917BAA" w:rsidRDefault="00332B57" w:rsidP="00BC10F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Regulatory/Environmental</w:t>
            </w:r>
          </w:p>
        </w:tc>
        <w:tc>
          <w:tcPr>
            <w:tcW w:w="833" w:type="pct"/>
            <w:shd w:val="clear" w:color="auto" w:fill="FDC608"/>
          </w:tcPr>
          <w:p w14:paraId="643B335B" w14:textId="77777777" w:rsidR="00332B57" w:rsidRPr="00917BAA" w:rsidRDefault="00332B57" w:rsidP="00BC10F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Infrastructure and Support</w:t>
            </w:r>
          </w:p>
        </w:tc>
        <w:tc>
          <w:tcPr>
            <w:tcW w:w="833" w:type="pct"/>
            <w:shd w:val="clear" w:color="auto" w:fill="FDC608"/>
          </w:tcPr>
          <w:p w14:paraId="02183EF7" w14:textId="18E24154" w:rsidR="00332B57" w:rsidRPr="00917BAA" w:rsidRDefault="00332B57" w:rsidP="00BC10F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>
              <w:rPr>
                <w:rFonts w:cs="Open Sans"/>
                <w:lang w:val="en-IE"/>
              </w:rPr>
              <w:t>Link</w:t>
            </w:r>
          </w:p>
        </w:tc>
      </w:tr>
      <w:tr w:rsidR="00332B57" w:rsidRPr="00917BAA" w14:paraId="509A3273" w14:textId="5C382067" w:rsidTr="0033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94F3E15" w14:textId="55B989F6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O</w:t>
            </w:r>
            <w:r w:rsidR="00416CE0">
              <w:rPr>
                <w:rFonts w:cs="Open Sans"/>
                <w:lang w:val="en-IE"/>
              </w:rPr>
              <w:t>cean</w:t>
            </w:r>
            <w:bookmarkStart w:id="0" w:name="_GoBack"/>
            <w:bookmarkEnd w:id="0"/>
            <w:r w:rsidRPr="00917BAA">
              <w:rPr>
                <w:rFonts w:cs="Open Sans"/>
                <w:lang w:val="en-IE"/>
              </w:rPr>
              <w:t xml:space="preserve"> </w:t>
            </w:r>
            <w:r w:rsidR="000B5D46">
              <w:rPr>
                <w:rFonts w:cs="Open Sans"/>
                <w:lang w:val="en-IE"/>
              </w:rPr>
              <w:t>Energy</w:t>
            </w:r>
            <w:r w:rsidRPr="00917BAA">
              <w:rPr>
                <w:rFonts w:cs="Open Sans"/>
                <w:lang w:val="en-IE"/>
              </w:rPr>
              <w:t xml:space="preserve"> </w:t>
            </w:r>
            <w:r w:rsidR="000B5D46">
              <w:rPr>
                <w:rFonts w:cs="Open Sans"/>
                <w:lang w:val="en-IE"/>
              </w:rPr>
              <w:t>S</w:t>
            </w:r>
            <w:r w:rsidRPr="00917BAA">
              <w:rPr>
                <w:rFonts w:cs="Open Sans"/>
                <w:lang w:val="en-IE"/>
              </w:rPr>
              <w:t xml:space="preserve">tatus </w:t>
            </w:r>
            <w:r w:rsidR="000B5D46">
              <w:rPr>
                <w:rFonts w:cs="Open Sans"/>
                <w:lang w:val="en-IE"/>
              </w:rPr>
              <w:t>R</w:t>
            </w:r>
            <w:r w:rsidRPr="00917BAA">
              <w:rPr>
                <w:rFonts w:cs="Open Sans"/>
                <w:lang w:val="en-IE"/>
              </w:rPr>
              <w:t>eport 201</w:t>
            </w:r>
            <w:r w:rsidR="00950321">
              <w:rPr>
                <w:rFonts w:cs="Open Sans"/>
                <w:lang w:val="en-IE"/>
              </w:rPr>
              <w:t>4</w:t>
            </w:r>
          </w:p>
        </w:tc>
        <w:tc>
          <w:tcPr>
            <w:tcW w:w="833" w:type="pct"/>
            <w:shd w:val="clear" w:color="auto" w:fill="FFFFFF" w:themeFill="background1"/>
          </w:tcPr>
          <w:p w14:paraId="500D9D98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Device and System Demonstrators</w:t>
            </w:r>
          </w:p>
          <w:p w14:paraId="3563B4A0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Installation &amp; recovery methods</w:t>
            </w:r>
          </w:p>
          <w:p w14:paraId="4D1520E3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Low-cost O&amp;M techniques</w:t>
            </w:r>
          </w:p>
          <w:p w14:paraId="3E9B783C" w14:textId="77777777" w:rsidR="00332B57" w:rsidRPr="00917BAA" w:rsidRDefault="00332B57" w:rsidP="00BC10F3">
            <w:pPr>
              <w:spacing w:before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Sub-Components</w:t>
            </w:r>
          </w:p>
          <w:p w14:paraId="6D60727B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Control systems</w:t>
            </w:r>
          </w:p>
          <w:p w14:paraId="2814CCF9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Energy extraction technology (e.g. blades, interaction surfaces)</w:t>
            </w:r>
          </w:p>
          <w:p w14:paraId="410842B3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PTO</w:t>
            </w:r>
          </w:p>
          <w:p w14:paraId="74F3A97C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Device structure</w:t>
            </w:r>
          </w:p>
          <w:p w14:paraId="42B9FFCB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Foundations and mooring systems</w:t>
            </w:r>
          </w:p>
          <w:p w14:paraId="7496F16C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Offshore umbilical &amp; wet mate connectors</w:t>
            </w:r>
          </w:p>
          <w:p w14:paraId="5DB8C4E7" w14:textId="77777777" w:rsidR="00332B57" w:rsidRPr="00917BAA" w:rsidRDefault="00332B57" w:rsidP="00BC10F3">
            <w:pPr>
              <w:spacing w:before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Infrastructure and Enablers</w:t>
            </w:r>
          </w:p>
          <w:p w14:paraId="1466B7C0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Offshore grid system design and demonstration </w:t>
            </w:r>
          </w:p>
          <w:p w14:paraId="43A3EE75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Array electrical systems </w:t>
            </w:r>
          </w:p>
          <w:p w14:paraId="02FFD0B4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Onshore grid system development </w:t>
            </w:r>
          </w:p>
          <w:p w14:paraId="2AF646D5" w14:textId="146A9511" w:rsidR="00332B57" w:rsidRPr="00917BAA" w:rsidRDefault="00332B57" w:rsidP="000239A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Sub-sea electrical system equipment </w:t>
            </w:r>
          </w:p>
        </w:tc>
        <w:tc>
          <w:tcPr>
            <w:tcW w:w="833" w:type="pct"/>
            <w:shd w:val="clear" w:color="auto" w:fill="FFFFFF" w:themeFill="background1"/>
          </w:tcPr>
          <w:p w14:paraId="4508311F" w14:textId="77777777" w:rsidR="00332B57" w:rsidRPr="00917BAA" w:rsidRDefault="00332B57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65157A3" w14:textId="77777777" w:rsidR="00332B57" w:rsidRPr="00917BAA" w:rsidRDefault="00332B57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599BFF33" w14:textId="77777777" w:rsidR="00332B57" w:rsidRPr="00917BAA" w:rsidRDefault="00332B57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703FEE93" w14:textId="32F9699C" w:rsidR="00332B57" w:rsidRPr="00917BAA" w:rsidRDefault="00416CE0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hyperlink r:id="rId8" w:history="1">
              <w:r w:rsidR="00493285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https://setis.ec.europa.eu/sites/default/files/reports/2014-JRC-Ocean-Energy-Status-Report.pdf</w:t>
              </w:r>
            </w:hyperlink>
          </w:p>
        </w:tc>
      </w:tr>
      <w:tr w:rsidR="00332B57" w:rsidRPr="00917BAA" w14:paraId="12734989" w14:textId="393B7828" w:rsidTr="0033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68E4755" w14:textId="77777777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b w:val="0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Ocean Energy Forum</w:t>
            </w:r>
          </w:p>
          <w:p w14:paraId="5B5374C0" w14:textId="77777777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OCEAN ENERGY STRATEGIC ROADMAP 2016</w:t>
            </w:r>
          </w:p>
        </w:tc>
        <w:tc>
          <w:tcPr>
            <w:tcW w:w="833" w:type="pct"/>
            <w:shd w:val="clear" w:color="auto" w:fill="FFFFFF" w:themeFill="background1"/>
          </w:tcPr>
          <w:p w14:paraId="2BB2C0AB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Testing and modelling</w:t>
            </w:r>
          </w:p>
          <w:p w14:paraId="03962E93" w14:textId="6159E8C2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Reliability and survivability</w:t>
            </w:r>
          </w:p>
          <w:p w14:paraId="514346BF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338577B3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Installation and logistics</w:t>
            </w:r>
          </w:p>
          <w:p w14:paraId="224DCDA5" w14:textId="1CFDF949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Power generation and grid</w:t>
            </w:r>
          </w:p>
          <w:p w14:paraId="56512E93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1DD6EE96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Wave: Innovation to deploy large farms</w:t>
            </w:r>
          </w:p>
        </w:tc>
        <w:tc>
          <w:tcPr>
            <w:tcW w:w="833" w:type="pct"/>
            <w:shd w:val="clear" w:color="auto" w:fill="FFFFFF" w:themeFill="background1"/>
          </w:tcPr>
          <w:p w14:paraId="598BBA72" w14:textId="77777777" w:rsidR="00332B57" w:rsidRPr="00917BAA" w:rsidRDefault="00332B57" w:rsidP="00BC10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07C8BF7" w14:textId="4F62DBE4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Improving planning, consenting and environmental permitting to speed up project’s delivery</w:t>
            </w:r>
          </w:p>
        </w:tc>
        <w:tc>
          <w:tcPr>
            <w:tcW w:w="833" w:type="pct"/>
            <w:shd w:val="clear" w:color="auto" w:fill="FFFFFF" w:themeFill="background1"/>
          </w:tcPr>
          <w:p w14:paraId="251279CB" w14:textId="03749B11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Insurance and Guarantee funds</w:t>
            </w:r>
          </w:p>
          <w:p w14:paraId="2B6D909A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50D72C46" w14:textId="25512AFB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Investment support funds</w:t>
            </w:r>
          </w:p>
          <w:p w14:paraId="35EA9A27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69CA56DD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Standardisation of the industry leading to certification</w:t>
            </w:r>
          </w:p>
        </w:tc>
        <w:tc>
          <w:tcPr>
            <w:tcW w:w="833" w:type="pct"/>
            <w:shd w:val="clear" w:color="auto" w:fill="FFFFFF" w:themeFill="background1"/>
          </w:tcPr>
          <w:p w14:paraId="397D70AC" w14:textId="3A8B3882" w:rsidR="00332B57" w:rsidRPr="00917BAA" w:rsidRDefault="00416CE0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hyperlink r:id="rId9" w:history="1">
              <w:r w:rsidR="00332B57">
                <w:rPr>
                  <w:rStyle w:val="Hyperlink"/>
                </w:rPr>
                <w:t>https://webgate.ec.europa.eu/maritimeforum/sites/maritimeforum/files/OceanEnergyForum_Roadmap_Online_Version_08Nov2016.pdf</w:t>
              </w:r>
            </w:hyperlink>
          </w:p>
        </w:tc>
      </w:tr>
      <w:tr w:rsidR="00332B57" w:rsidRPr="00917BAA" w14:paraId="08B83731" w14:textId="14E8E645" w:rsidTr="0033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6166B97" w14:textId="2849B3A4" w:rsidR="00332B57" w:rsidRPr="00917BAA" w:rsidRDefault="00332B57" w:rsidP="000F7B11">
            <w:pPr>
              <w:spacing w:line="240" w:lineRule="auto"/>
              <w:jc w:val="left"/>
              <w:rPr>
                <w:rFonts w:cs="Open Sans"/>
                <w:b w:val="0"/>
                <w:bCs w:val="0"/>
                <w:color w:val="FFCC00"/>
                <w:lang w:val="en-IE"/>
              </w:rPr>
            </w:pPr>
            <w:proofErr w:type="spellStart"/>
            <w:r w:rsidRPr="00917BAA">
              <w:rPr>
                <w:rFonts w:cs="Open Sans"/>
                <w:lang w:val="en-IE"/>
              </w:rPr>
              <w:lastRenderedPageBreak/>
              <w:t>TPOcean</w:t>
            </w:r>
            <w:proofErr w:type="spellEnd"/>
            <w:r w:rsidRPr="00917BAA">
              <w:rPr>
                <w:rFonts w:cs="Open Sans"/>
                <w:lang w:val="en-IE"/>
              </w:rPr>
              <w:t xml:space="preserve"> Strategic Research Agenda for Ocean Energy 2016</w:t>
            </w:r>
          </w:p>
        </w:tc>
        <w:tc>
          <w:tcPr>
            <w:tcW w:w="833" w:type="pct"/>
            <w:shd w:val="clear" w:color="auto" w:fill="FFFFFF" w:themeFill="background1"/>
          </w:tcPr>
          <w:p w14:paraId="745CCDAD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Demonstration, Testing and Modelling</w:t>
            </w:r>
          </w:p>
          <w:p w14:paraId="274B6EBE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Deploy demonstration projects to generate learnings necessary for commercialization</w:t>
            </w:r>
          </w:p>
          <w:p w14:paraId="13E44378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Technology development through validated numerical models and small-scale prototypes</w:t>
            </w:r>
          </w:p>
          <w:p w14:paraId="36FD2145" w14:textId="77777777" w:rsidR="00332B57" w:rsidRPr="00917BAA" w:rsidRDefault="00332B57" w:rsidP="00BC10F3">
            <w:pPr>
              <w:spacing w:before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Materials, Components and Systems</w:t>
            </w:r>
          </w:p>
          <w:p w14:paraId="27F22344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Develop high quality seaworthy materials</w:t>
            </w:r>
          </w:p>
          <w:p w14:paraId="0F3FC152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Increase yield with improved power take-off</w:t>
            </w:r>
          </w:p>
          <w:p w14:paraId="1BE8238F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Validation of components and sub-systems</w:t>
            </w:r>
          </w:p>
          <w:p w14:paraId="33A8E457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Control systems to increase performance and operability</w:t>
            </w:r>
          </w:p>
          <w:p w14:paraId="714CAAB4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Condition monitoring systems to optimise </w:t>
            </w:r>
            <w:r w:rsidRPr="00917BAA">
              <w:rPr>
                <w:rFonts w:cs="Open Sans"/>
                <w:sz w:val="18"/>
                <w:lang w:val="en-IE"/>
              </w:rPr>
              <w:lastRenderedPageBreak/>
              <w:t>operation and maintenance</w:t>
            </w:r>
          </w:p>
          <w:p w14:paraId="40638C88" w14:textId="77777777" w:rsidR="00332B57" w:rsidRPr="00917BAA" w:rsidRDefault="00332B57" w:rsidP="00D362A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Installation, Logistics and Infrastructure</w:t>
            </w:r>
          </w:p>
          <w:p w14:paraId="6638D481" w14:textId="77777777" w:rsidR="00332B57" w:rsidRPr="00917BAA" w:rsidRDefault="00332B57" w:rsidP="00D362A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136CBC8C" w14:textId="3109D73E" w:rsidR="00332B57" w:rsidRPr="00917BAA" w:rsidRDefault="00332B57" w:rsidP="00C974F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Reduce uncertainty, risk and cost of foundations, anchoring systems and cables</w:t>
            </w:r>
          </w:p>
          <w:p w14:paraId="61933000" w14:textId="77777777" w:rsidR="00332B57" w:rsidRPr="00917BAA" w:rsidRDefault="00332B57" w:rsidP="00C974F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56469E5B" w14:textId="681F4A28" w:rsidR="00332B57" w:rsidRPr="00917BAA" w:rsidRDefault="00332B57" w:rsidP="00C974F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Power transmission and array cable architecture</w:t>
            </w:r>
          </w:p>
        </w:tc>
        <w:tc>
          <w:tcPr>
            <w:tcW w:w="833" w:type="pct"/>
            <w:shd w:val="clear" w:color="auto" w:fill="FFFFFF" w:themeFill="background1"/>
          </w:tcPr>
          <w:p w14:paraId="6E35EC09" w14:textId="362D362E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 xml:space="preserve">Building a case for investments, including </w:t>
            </w:r>
            <w:proofErr w:type="spellStart"/>
            <w:r w:rsidRPr="00917BAA">
              <w:rPr>
                <w:rFonts w:cs="Open Sans"/>
                <w:lang w:val="en-IE"/>
              </w:rPr>
              <w:t>LCoE</w:t>
            </w:r>
            <w:proofErr w:type="spellEnd"/>
            <w:r w:rsidRPr="00917BAA">
              <w:rPr>
                <w:rFonts w:cs="Open Sans"/>
                <w:lang w:val="en-IE"/>
              </w:rPr>
              <w:t xml:space="preserve"> analysis</w:t>
            </w:r>
          </w:p>
          <w:p w14:paraId="7F84440B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25AD1373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Develop manufacturing expertise for ocean energy</w:t>
            </w:r>
          </w:p>
          <w:p w14:paraId="7BCFF81E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Streamline manufacturing processes to drive down costs</w:t>
            </w:r>
          </w:p>
          <w:p w14:paraId="746E92D4" w14:textId="77777777" w:rsidR="00332B57" w:rsidRPr="00917BAA" w:rsidRDefault="00332B57" w:rsidP="00BC10F3">
            <w:pPr>
              <w:spacing w:before="2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Access to ocean energy sites, design adapted processes and vessels</w:t>
            </w:r>
          </w:p>
          <w:p w14:paraId="5103B9A3" w14:textId="77777777" w:rsidR="00332B57" w:rsidRPr="00917BAA" w:rsidRDefault="00332B57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16F58E57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Standards, health, safety and environment</w:t>
            </w:r>
          </w:p>
        </w:tc>
        <w:tc>
          <w:tcPr>
            <w:tcW w:w="833" w:type="pct"/>
            <w:shd w:val="clear" w:color="auto" w:fill="FFFFFF" w:themeFill="background1"/>
          </w:tcPr>
          <w:p w14:paraId="65625733" w14:textId="77777777" w:rsidR="00332B57" w:rsidRPr="00917BAA" w:rsidRDefault="00332B57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5D6A2BC" w14:textId="59312E39" w:rsidR="00332B57" w:rsidRPr="00917BAA" w:rsidRDefault="00416CE0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hyperlink r:id="rId10" w:history="1">
              <w:r w:rsidR="00830DBD">
                <w:rPr>
                  <w:rStyle w:val="Hyperlink"/>
                </w:rPr>
                <w:t>https://www.oceanenergy-europe.eu/wp-content/uploads/2017/03/TPOcean-Strategic_Research_Agenda_Nov2016.pdf</w:t>
              </w:r>
            </w:hyperlink>
          </w:p>
        </w:tc>
      </w:tr>
      <w:tr w:rsidR="00332B57" w:rsidRPr="00917BAA" w14:paraId="2998A5F3" w14:textId="72E4F264" w:rsidTr="00332B57">
        <w:trPr>
          <w:trHeight w:val="4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E2A095A" w14:textId="77777777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Study on Lessons for Ocean Energy Development, EC, 2017</w:t>
            </w:r>
          </w:p>
        </w:tc>
        <w:tc>
          <w:tcPr>
            <w:tcW w:w="833" w:type="pct"/>
            <w:shd w:val="clear" w:color="auto" w:fill="FFFFFF" w:themeFill="background1"/>
          </w:tcPr>
          <w:p w14:paraId="4DB57E29" w14:textId="36171E25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 xml:space="preserve">Technical problems: </w:t>
            </w:r>
          </w:p>
          <w:p w14:paraId="46B5DB23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device failed partially or completely. </w:t>
            </w:r>
          </w:p>
          <w:p w14:paraId="49A4AB4D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components, structural problems, station keeping, survivability, </w:t>
            </w:r>
          </w:p>
          <w:p w14:paraId="4D4C7DCA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rapid wearing or corrosion etc. due to fatigue or inadequate designs /materials.</w:t>
            </w:r>
          </w:p>
          <w:p w14:paraId="0A829FE7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503D1B83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Grids</w:t>
            </w:r>
          </w:p>
          <w:p w14:paraId="53554C14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0A546CCB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Installation and maintenance</w:t>
            </w:r>
          </w:p>
        </w:tc>
        <w:tc>
          <w:tcPr>
            <w:tcW w:w="833" w:type="pct"/>
            <w:shd w:val="clear" w:color="auto" w:fill="FFFFFF" w:themeFill="background1"/>
          </w:tcPr>
          <w:p w14:paraId="63DE4CD5" w14:textId="15B7EA5A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 xml:space="preserve">Financial problems: </w:t>
            </w:r>
          </w:p>
          <w:p w14:paraId="62368435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matching funds for public grants</w:t>
            </w:r>
          </w:p>
          <w:p w14:paraId="607AD69E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increase the shareholder contribution from private equity due to not meeting milestones or delays, </w:t>
            </w:r>
          </w:p>
          <w:p w14:paraId="638864C8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 xml:space="preserve">costly repair etc. </w:t>
            </w:r>
          </w:p>
          <w:p w14:paraId="028F3064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a company being sold or going into administration or the business has been shut down</w:t>
            </w:r>
          </w:p>
        </w:tc>
        <w:tc>
          <w:tcPr>
            <w:tcW w:w="833" w:type="pct"/>
            <w:shd w:val="clear" w:color="auto" w:fill="FFFFFF" w:themeFill="background1"/>
          </w:tcPr>
          <w:p w14:paraId="4A4016BD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Site characterisation</w:t>
            </w:r>
          </w:p>
          <w:p w14:paraId="17B52329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1B12A5DA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Environmental impacts</w:t>
            </w:r>
          </w:p>
        </w:tc>
        <w:tc>
          <w:tcPr>
            <w:tcW w:w="833" w:type="pct"/>
            <w:shd w:val="clear" w:color="auto" w:fill="FFFFFF" w:themeFill="background1"/>
          </w:tcPr>
          <w:p w14:paraId="35715A63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 xml:space="preserve">Public procurement of technological innovation (WES) </w:t>
            </w:r>
          </w:p>
          <w:p w14:paraId="58A558A9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Organize systematic knowledge sharing</w:t>
            </w:r>
          </w:p>
          <w:p w14:paraId="5A473D49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Ocean energy clusters</w:t>
            </w:r>
          </w:p>
          <w:p w14:paraId="7A06F6F4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 xml:space="preserve">Access to test sites </w:t>
            </w:r>
          </w:p>
          <w:p w14:paraId="783CDBE2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Change of finance and market conditions (ROCs, FITs)</w:t>
            </w:r>
          </w:p>
          <w:p w14:paraId="51CC6702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Competition for money with e.g. onshore &amp; offshore wind</w:t>
            </w:r>
          </w:p>
        </w:tc>
        <w:tc>
          <w:tcPr>
            <w:tcW w:w="833" w:type="pct"/>
            <w:shd w:val="clear" w:color="auto" w:fill="FFFFFF" w:themeFill="background1"/>
          </w:tcPr>
          <w:p w14:paraId="5433DCB7" w14:textId="77CE6E65" w:rsidR="00332B57" w:rsidRPr="00917BAA" w:rsidRDefault="00416CE0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hyperlink r:id="rId11" w:history="1">
              <w:r w:rsidR="00D81538">
                <w:rPr>
                  <w:rStyle w:val="Hyperlink"/>
                </w:rPr>
                <w:t>http://publications.europa.eu/resource/cellar/03c9b48d-66af-11e7-b2f2-01aa75ed71a1.0001.01/DOC_1</w:t>
              </w:r>
            </w:hyperlink>
          </w:p>
        </w:tc>
      </w:tr>
      <w:tr w:rsidR="00332B57" w:rsidRPr="00917BAA" w14:paraId="17233BF6" w14:textId="3955F1B2" w:rsidTr="0033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023162B" w14:textId="77777777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OES International Vision for OE 2017</w:t>
            </w:r>
          </w:p>
        </w:tc>
        <w:tc>
          <w:tcPr>
            <w:tcW w:w="833" w:type="pct"/>
            <w:shd w:val="clear" w:color="auto" w:fill="FFFFFF" w:themeFill="background1"/>
          </w:tcPr>
          <w:p w14:paraId="3D1666FB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Design optimisation and tool development</w:t>
            </w:r>
          </w:p>
          <w:p w14:paraId="1F799296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Structure &amp; prime movers</w:t>
            </w:r>
          </w:p>
          <w:p w14:paraId="15F95172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Foundations &amp; Moorings</w:t>
            </w:r>
          </w:p>
          <w:p w14:paraId="18B64ACC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PTO&amp; Control Systems</w:t>
            </w:r>
          </w:p>
          <w:p w14:paraId="2460396C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Array systems &amp; subsea connections</w:t>
            </w:r>
          </w:p>
          <w:p w14:paraId="1A879863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Installation, operational maintenance &amp; recovery</w:t>
            </w:r>
          </w:p>
        </w:tc>
        <w:tc>
          <w:tcPr>
            <w:tcW w:w="833" w:type="pct"/>
            <w:shd w:val="clear" w:color="auto" w:fill="FFFFFF" w:themeFill="background1"/>
          </w:tcPr>
          <w:p w14:paraId="5EEDD1A0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Market Incentives</w:t>
            </w:r>
          </w:p>
          <w:p w14:paraId="648FC1C9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Industry and Supply Chain Development</w:t>
            </w:r>
          </w:p>
        </w:tc>
        <w:tc>
          <w:tcPr>
            <w:tcW w:w="833" w:type="pct"/>
            <w:shd w:val="clear" w:color="auto" w:fill="FFFFFF" w:themeFill="background1"/>
          </w:tcPr>
          <w:p w14:paraId="7A0A33FA" w14:textId="77777777" w:rsidR="00332B57" w:rsidRPr="00917BAA" w:rsidRDefault="00332B57" w:rsidP="00BC10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7478F69A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Energy policy driven capacity or generation targets</w:t>
            </w:r>
          </w:p>
          <w:p w14:paraId="5F996AA7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Capital Grants and Financial Incentives</w:t>
            </w:r>
          </w:p>
          <w:p w14:paraId="1B9D7A7D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Resource Allocation and Industry Standards</w:t>
            </w:r>
          </w:p>
          <w:p w14:paraId="0370BD85" w14:textId="77777777" w:rsidR="00332B57" w:rsidRPr="00917BAA" w:rsidRDefault="00332B57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Research and Testing Facilities and Infrastructure</w:t>
            </w:r>
          </w:p>
        </w:tc>
        <w:tc>
          <w:tcPr>
            <w:tcW w:w="833" w:type="pct"/>
            <w:shd w:val="clear" w:color="auto" w:fill="FFFFFF" w:themeFill="background1"/>
          </w:tcPr>
          <w:p w14:paraId="31260677" w14:textId="258E5238" w:rsidR="00332B57" w:rsidRPr="00917BAA" w:rsidRDefault="00416CE0" w:rsidP="00BC10F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hyperlink r:id="rId12" w:history="1">
              <w:r w:rsidR="00267A07" w:rsidRPr="00B575B1">
                <w:rPr>
                  <w:rStyle w:val="Hyperlink"/>
                  <w:rFonts w:cs="Open Sans"/>
                  <w:lang w:val="en-IE"/>
                </w:rPr>
                <w:t>http://www.oceanenergysystems.org/documents/73666-oes-vision-2017.pdf/</w:t>
              </w:r>
            </w:hyperlink>
            <w:r w:rsidR="00267A07">
              <w:rPr>
                <w:rFonts w:cs="Open Sans"/>
                <w:lang w:val="en-IE"/>
              </w:rPr>
              <w:t xml:space="preserve"> </w:t>
            </w:r>
          </w:p>
        </w:tc>
      </w:tr>
      <w:tr w:rsidR="00332B57" w:rsidRPr="00917BAA" w14:paraId="1A2B0B91" w14:textId="6C9CE1D6" w:rsidTr="00332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3DBFF906" w14:textId="77777777" w:rsidR="00332B57" w:rsidRPr="00917BAA" w:rsidRDefault="00332B57" w:rsidP="00BC10F3">
            <w:pPr>
              <w:spacing w:line="240" w:lineRule="auto"/>
              <w:jc w:val="left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ETIPOCEAN: Integrated Strategy for the OE sector 2019</w:t>
            </w:r>
          </w:p>
        </w:tc>
        <w:tc>
          <w:tcPr>
            <w:tcW w:w="833" w:type="pct"/>
            <w:shd w:val="clear" w:color="auto" w:fill="FFFFFF" w:themeFill="background1"/>
          </w:tcPr>
          <w:p w14:paraId="08C13EEA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Develop device design &amp; numerical modelling methodologies</w:t>
            </w:r>
          </w:p>
          <w:p w14:paraId="7897416A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Develop and iteratively redevelop of higher performance/lower cost devices, components &amp; sub-system:</w:t>
            </w:r>
          </w:p>
          <w:p w14:paraId="5DB5785E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Power take-off systems – e.g. direct drive turbines, bi-radial wave turbines</w:t>
            </w:r>
          </w:p>
          <w:p w14:paraId="15D7878A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lastRenderedPageBreak/>
              <w:t>Moorings, foundations, anchors &amp; cable connections</w:t>
            </w:r>
          </w:p>
          <w:p w14:paraId="0877875D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Control systems that monitor conditions and respond dynamically to mitigate adverse impacts</w:t>
            </w:r>
          </w:p>
          <w:p w14:paraId="6C90A02C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18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Novel materials for blades, moorings, power take offs &amp; hull</w:t>
            </w:r>
          </w:p>
          <w:p w14:paraId="035DAA54" w14:textId="77777777" w:rsidR="00332B57" w:rsidRPr="00917BAA" w:rsidRDefault="00332B57" w:rsidP="00BC10F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7" w:hanging="28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sz w:val="18"/>
                <w:lang w:val="en-IE"/>
              </w:rPr>
              <w:t>Protections against corrosion and biofouling</w:t>
            </w:r>
          </w:p>
          <w:p w14:paraId="3B5C132F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5658D487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Improve device reliability &amp; survivability</w:t>
            </w:r>
          </w:p>
        </w:tc>
        <w:tc>
          <w:tcPr>
            <w:tcW w:w="833" w:type="pct"/>
            <w:shd w:val="clear" w:color="auto" w:fill="FFFFFF" w:themeFill="background1"/>
          </w:tcPr>
          <w:p w14:paraId="28DE32CF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Prototype:</w:t>
            </w:r>
          </w:p>
          <w:p w14:paraId="6F4FFB06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Use first results to prove concept and attract initial investors</w:t>
            </w:r>
          </w:p>
          <w:p w14:paraId="6A5E0E7D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355EAE3F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Demonstration:</w:t>
            </w:r>
          </w:p>
          <w:p w14:paraId="0C4F82C1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 xml:space="preserve">Produce data on performance, reliability, survivability &amp; costs to showcase risk reductions to investors </w:t>
            </w:r>
          </w:p>
          <w:p w14:paraId="6157CDC0" w14:textId="77777777" w:rsidR="00332B57" w:rsidRPr="00917BAA" w:rsidRDefault="00332B57" w:rsidP="00BC10F3">
            <w:pPr>
              <w:spacing w:before="2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Begin standardisation of device, components and sub-systems</w:t>
            </w:r>
          </w:p>
          <w:p w14:paraId="007D1BF7" w14:textId="77777777" w:rsidR="00332B57" w:rsidRPr="00917BAA" w:rsidRDefault="00332B57" w:rsidP="00BC10F3">
            <w:pPr>
              <w:spacing w:before="2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 xml:space="preserve">Competitive outsourcing of some components &amp; sub-systems </w:t>
            </w:r>
          </w:p>
          <w:p w14:paraId="5AA684B5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Develop successively larger devices to improve power to cost ratios</w:t>
            </w:r>
          </w:p>
        </w:tc>
        <w:tc>
          <w:tcPr>
            <w:tcW w:w="833" w:type="pct"/>
            <w:shd w:val="clear" w:color="auto" w:fill="FFFFFF" w:themeFill="background1"/>
          </w:tcPr>
          <w:p w14:paraId="413DF384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Prototype:</w:t>
            </w:r>
          </w:p>
          <w:p w14:paraId="00B3D324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Generate first data on environmental impacts to inform consenting &amp; licensing regimes</w:t>
            </w:r>
          </w:p>
          <w:p w14:paraId="0DB7CACC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5EEBA8DC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Demonstration:</w:t>
            </w:r>
          </w:p>
          <w:p w14:paraId="11B9E078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t>Generate data on environmental impacts to inform consenting &amp; licensing regimes</w:t>
            </w:r>
          </w:p>
          <w:p w14:paraId="22E523FA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4BA1F321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  <w:r w:rsidRPr="00917BAA">
              <w:rPr>
                <w:rFonts w:cs="Open Sans"/>
                <w:lang w:val="en-IE"/>
              </w:rPr>
              <w:lastRenderedPageBreak/>
              <w:t>Provide examples to inform national Marine Spatial Plans</w:t>
            </w:r>
          </w:p>
          <w:p w14:paraId="1EF91381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lang w:val="en-IE"/>
              </w:rPr>
            </w:pPr>
          </w:p>
          <w:p w14:paraId="546DFF86" w14:textId="77777777" w:rsidR="00332B57" w:rsidRPr="00917BAA" w:rsidRDefault="00332B57" w:rsidP="00BC10F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r w:rsidRPr="00917BAA">
              <w:rPr>
                <w:rFonts w:cs="Open Sans"/>
                <w:lang w:val="en-IE"/>
              </w:rPr>
              <w:t>Develop of standard procedures for monitoring of environmental impact of projects</w:t>
            </w:r>
          </w:p>
        </w:tc>
        <w:tc>
          <w:tcPr>
            <w:tcW w:w="833" w:type="pct"/>
            <w:shd w:val="clear" w:color="auto" w:fill="FFFFFF" w:themeFill="background1"/>
          </w:tcPr>
          <w:p w14:paraId="1AF09258" w14:textId="77777777" w:rsidR="00332B57" w:rsidRPr="00917BAA" w:rsidRDefault="00332B57" w:rsidP="00BC10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5990BFCF" w14:textId="6D932D81" w:rsidR="00332B57" w:rsidRPr="00917BAA" w:rsidRDefault="00416CE0" w:rsidP="00BC10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FFCC00"/>
                <w:lang w:val="en-IE"/>
              </w:rPr>
            </w:pPr>
            <w:hyperlink r:id="rId13" w:history="1">
              <w:r w:rsidR="00AC59A8">
                <w:rPr>
                  <w:rStyle w:val="Hyperlink"/>
                </w:rPr>
                <w:t>https://www.etipocean.eu/assets/Uploads/ETIP-Ocean-Integrated-Strategy-2019.pdf</w:t>
              </w:r>
            </w:hyperlink>
          </w:p>
        </w:tc>
      </w:tr>
    </w:tbl>
    <w:p w14:paraId="3EC08F42" w14:textId="77777777" w:rsidR="009A0DE2" w:rsidRPr="00917BAA" w:rsidRDefault="009A0DE2" w:rsidP="000F7B11">
      <w:pPr>
        <w:spacing w:line="240" w:lineRule="auto"/>
        <w:jc w:val="left"/>
        <w:rPr>
          <w:rFonts w:cs="Open Sans"/>
          <w:lang w:val="en-IE"/>
        </w:rPr>
      </w:pPr>
    </w:p>
    <w:sectPr w:rsidR="009A0DE2" w:rsidRPr="00917BAA" w:rsidSect="000F7B11">
      <w:headerReference w:type="default" r:id="rId14"/>
      <w:footerReference w:type="default" r:id="rId15"/>
      <w:pgSz w:w="16838" w:h="11906" w:orient="landscape" w:code="9"/>
      <w:pgMar w:top="85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EFE7" w14:textId="77777777" w:rsidR="00E25B8B" w:rsidRDefault="00E25B8B" w:rsidP="007B3491">
      <w:pPr>
        <w:spacing w:after="0" w:line="240" w:lineRule="auto"/>
      </w:pPr>
      <w:r>
        <w:separator/>
      </w:r>
    </w:p>
  </w:endnote>
  <w:endnote w:type="continuationSeparator" w:id="0">
    <w:p w14:paraId="6AF89CD6" w14:textId="77777777" w:rsidR="00E25B8B" w:rsidRDefault="00E25B8B" w:rsidP="007B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V Bol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331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9B2CE" w14:textId="274947E9" w:rsidR="00BC10F3" w:rsidRDefault="00BC1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7BB9C" w14:textId="77777777" w:rsidR="00BC10F3" w:rsidRDefault="00BC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1489" w14:textId="77777777" w:rsidR="00E25B8B" w:rsidRDefault="00E25B8B" w:rsidP="007B3491">
      <w:pPr>
        <w:spacing w:after="0" w:line="240" w:lineRule="auto"/>
      </w:pPr>
      <w:r>
        <w:separator/>
      </w:r>
    </w:p>
  </w:footnote>
  <w:footnote w:type="continuationSeparator" w:id="0">
    <w:p w14:paraId="3ED2BCB1" w14:textId="77777777" w:rsidR="00E25B8B" w:rsidRDefault="00E25B8B" w:rsidP="007B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12"/>
      <w:gridCol w:w="3890"/>
    </w:tblGrid>
    <w:tr w:rsidR="00632D6A" w:rsidRPr="00B218BE" w14:paraId="420E0E6E" w14:textId="77777777" w:rsidTr="00CF60D3">
      <w:trPr>
        <w:cantSplit/>
        <w:trHeight w:hRule="exact" w:val="993"/>
        <w:jc w:val="center"/>
      </w:trPr>
      <w:tc>
        <w:tcPr>
          <w:tcW w:w="3611" w:type="pct"/>
          <w:vAlign w:val="center"/>
        </w:tcPr>
        <w:p w14:paraId="50CF3E28" w14:textId="77777777" w:rsidR="00CF60D3" w:rsidRDefault="009C1D29" w:rsidP="000B3218">
          <w:pPr>
            <w:pStyle w:val="FormTitle"/>
            <w:jc w:val="left"/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</w:pPr>
          <w:r w:rsidRPr="00BB2165"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 xml:space="preserve">Ocean Energy Challenges </w:t>
          </w:r>
          <w:r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>and</w:t>
          </w:r>
          <w:r w:rsidRPr="00BB2165"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 xml:space="preserve"> recommendations</w:t>
          </w:r>
          <w:r w:rsidR="00CF60D3"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>:</w:t>
          </w:r>
        </w:p>
        <w:p w14:paraId="288F3794" w14:textId="23D22B2E" w:rsidR="00632D6A" w:rsidRPr="00C17726" w:rsidRDefault="009C1D29" w:rsidP="000B3218">
          <w:pPr>
            <w:pStyle w:val="FormTitle"/>
            <w:jc w:val="left"/>
            <w:rPr>
              <w:rFonts w:asciiTheme="minorHAnsi" w:hAnsiTheme="minorHAnsi" w:cstheme="minorHAnsi"/>
              <w:caps/>
            </w:rPr>
          </w:pPr>
          <w:r w:rsidRPr="00BB2165"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 xml:space="preserve">desktop analysis of studies </w:t>
          </w:r>
          <w:r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>and</w:t>
          </w:r>
          <w:r w:rsidRPr="009C1D29"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 xml:space="preserve"> </w:t>
          </w:r>
          <w:r w:rsidRPr="00BB2165">
            <w:rPr>
              <w:rFonts w:ascii="Montserrat" w:eastAsiaTheme="majorEastAsia" w:hAnsi="Montserrat" w:cstheme="majorBidi"/>
              <w:color w:val="003399"/>
              <w:sz w:val="32"/>
              <w:szCs w:val="32"/>
            </w:rPr>
            <w:t>reports</w:t>
          </w:r>
        </w:p>
      </w:tc>
      <w:tc>
        <w:tcPr>
          <w:tcW w:w="1389" w:type="pct"/>
        </w:tcPr>
        <w:p w14:paraId="1953E1E7" w14:textId="77777777" w:rsidR="00632D6A" w:rsidRPr="00B218BE" w:rsidRDefault="00632D6A" w:rsidP="00BC10F3">
          <w:pPr>
            <w:ind w:left="-15"/>
            <w:jc w:val="right"/>
          </w:pPr>
          <w:r w:rsidRPr="00BF375A">
            <w:rPr>
              <w:noProof/>
              <w:sz w:val="32"/>
              <w:lang w:eastAsia="en-GB"/>
            </w:rPr>
            <w:drawing>
              <wp:inline distT="0" distB="0" distL="0" distR="0" wp14:anchorId="00FCA029" wp14:editId="7699039B">
                <wp:extent cx="1585104" cy="619125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in-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510"/>
                        <a:stretch/>
                      </pic:blipFill>
                      <pic:spPr bwMode="auto">
                        <a:xfrm>
                          <a:off x="0" y="0"/>
                          <a:ext cx="1683803" cy="6576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4C7A4D" w14:textId="77777777" w:rsidR="00632D6A" w:rsidRDefault="00632D6A" w:rsidP="00BC1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60F71F"/>
    <w:multiLevelType w:val="hybridMultilevel"/>
    <w:tmpl w:val="67C8E14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08A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BE0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F06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566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A8E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A62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5C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B20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10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487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636C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D4259D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DFA67E3"/>
    <w:multiLevelType w:val="hybridMultilevel"/>
    <w:tmpl w:val="963A9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651DE9"/>
    <w:multiLevelType w:val="multilevel"/>
    <w:tmpl w:val="71C862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600DB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18705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5C24D46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FF2D36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483C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903E5"/>
    <w:multiLevelType w:val="hybridMultilevel"/>
    <w:tmpl w:val="21A2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5499"/>
    <w:multiLevelType w:val="multilevel"/>
    <w:tmpl w:val="3AD0CA08"/>
    <w:lvl w:ilvl="0">
      <w:start w:val="1"/>
      <w:numFmt w:val="decimal"/>
      <w:lvlText w:val="%1.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3" w15:restartNumberingAfterBreak="0">
    <w:nsid w:val="43B361ED"/>
    <w:multiLevelType w:val="multilevel"/>
    <w:tmpl w:val="22C8DE7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112C84"/>
    <w:multiLevelType w:val="hybridMultilevel"/>
    <w:tmpl w:val="32F68110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7204BAB"/>
    <w:multiLevelType w:val="hybridMultilevel"/>
    <w:tmpl w:val="374E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7BB6"/>
    <w:multiLevelType w:val="hybridMultilevel"/>
    <w:tmpl w:val="89C6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A781F"/>
    <w:multiLevelType w:val="hybridMultilevel"/>
    <w:tmpl w:val="8436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26961"/>
    <w:multiLevelType w:val="hybridMultilevel"/>
    <w:tmpl w:val="F020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21031"/>
    <w:multiLevelType w:val="hybridMultilevel"/>
    <w:tmpl w:val="8436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225DA"/>
    <w:multiLevelType w:val="hybridMultilevel"/>
    <w:tmpl w:val="B95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E207D"/>
    <w:multiLevelType w:val="hybridMultilevel"/>
    <w:tmpl w:val="102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2E45"/>
    <w:multiLevelType w:val="hybridMultilevel"/>
    <w:tmpl w:val="86701FB6"/>
    <w:lvl w:ilvl="0" w:tplc="CA00FFFA">
      <w:start w:val="1"/>
      <w:numFmt w:val="decimal"/>
      <w:lvlText w:val="%1."/>
      <w:lvlJc w:val="left"/>
      <w:pPr>
        <w:ind w:left="721" w:hanging="360"/>
      </w:pPr>
      <w:rPr>
        <w:rFonts w:ascii="Open Sans" w:eastAsia="Arial" w:hAnsi="Open Sans" w:cs="Open Sans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41D17"/>
    <w:multiLevelType w:val="hybridMultilevel"/>
    <w:tmpl w:val="5E5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35"/>
  </w:num>
  <w:num w:numId="6">
    <w:abstractNumId w:val="30"/>
  </w:num>
  <w:num w:numId="7">
    <w:abstractNumId w:val="17"/>
  </w:num>
  <w:num w:numId="8">
    <w:abstractNumId w:val="23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32"/>
  </w:num>
  <w:num w:numId="26">
    <w:abstractNumId w:val="34"/>
  </w:num>
  <w:num w:numId="27">
    <w:abstractNumId w:val="33"/>
  </w:num>
  <w:num w:numId="28">
    <w:abstractNumId w:val="26"/>
  </w:num>
  <w:num w:numId="29">
    <w:abstractNumId w:val="31"/>
  </w:num>
  <w:num w:numId="30">
    <w:abstractNumId w:val="27"/>
  </w:num>
  <w:num w:numId="31">
    <w:abstractNumId w:val="29"/>
  </w:num>
  <w:num w:numId="32">
    <w:abstractNumId w:val="21"/>
  </w:num>
  <w:num w:numId="33">
    <w:abstractNumId w:val="0"/>
  </w:num>
  <w:num w:numId="34">
    <w:abstractNumId w:val="25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7A"/>
    <w:rsid w:val="000151B6"/>
    <w:rsid w:val="00023149"/>
    <w:rsid w:val="000239AB"/>
    <w:rsid w:val="000243B3"/>
    <w:rsid w:val="00033CDF"/>
    <w:rsid w:val="000427EE"/>
    <w:rsid w:val="00051844"/>
    <w:rsid w:val="00077251"/>
    <w:rsid w:val="00081B22"/>
    <w:rsid w:val="00090D12"/>
    <w:rsid w:val="00092D4F"/>
    <w:rsid w:val="0009413F"/>
    <w:rsid w:val="000A1CDB"/>
    <w:rsid w:val="000A5822"/>
    <w:rsid w:val="000B3218"/>
    <w:rsid w:val="000B5D46"/>
    <w:rsid w:val="000C4DC4"/>
    <w:rsid w:val="000C5058"/>
    <w:rsid w:val="000D68BC"/>
    <w:rsid w:val="000E1FC8"/>
    <w:rsid w:val="000F7B11"/>
    <w:rsid w:val="00113ACB"/>
    <w:rsid w:val="00115BF4"/>
    <w:rsid w:val="00121D0E"/>
    <w:rsid w:val="0012627C"/>
    <w:rsid w:val="00140FE2"/>
    <w:rsid w:val="00151030"/>
    <w:rsid w:val="001528DB"/>
    <w:rsid w:val="00175B28"/>
    <w:rsid w:val="00180AB2"/>
    <w:rsid w:val="00197D19"/>
    <w:rsid w:val="001B3340"/>
    <w:rsid w:val="001C4EEF"/>
    <w:rsid w:val="001F437A"/>
    <w:rsid w:val="0021043E"/>
    <w:rsid w:val="00211E89"/>
    <w:rsid w:val="00231512"/>
    <w:rsid w:val="00232A03"/>
    <w:rsid w:val="00267A07"/>
    <w:rsid w:val="002A6564"/>
    <w:rsid w:val="002C5419"/>
    <w:rsid w:val="002C60FD"/>
    <w:rsid w:val="00332B57"/>
    <w:rsid w:val="00357D55"/>
    <w:rsid w:val="0036034F"/>
    <w:rsid w:val="00377BFB"/>
    <w:rsid w:val="003C1A8C"/>
    <w:rsid w:val="003C4E2A"/>
    <w:rsid w:val="003C5E71"/>
    <w:rsid w:val="00416CE0"/>
    <w:rsid w:val="00447BD2"/>
    <w:rsid w:val="00453094"/>
    <w:rsid w:val="00460D9C"/>
    <w:rsid w:val="00465D28"/>
    <w:rsid w:val="004926E2"/>
    <w:rsid w:val="00493285"/>
    <w:rsid w:val="004B1E9E"/>
    <w:rsid w:val="004B6AFA"/>
    <w:rsid w:val="0050282C"/>
    <w:rsid w:val="00507FA6"/>
    <w:rsid w:val="005458E7"/>
    <w:rsid w:val="00555F91"/>
    <w:rsid w:val="005668F1"/>
    <w:rsid w:val="00570AFA"/>
    <w:rsid w:val="00573F46"/>
    <w:rsid w:val="00577B3B"/>
    <w:rsid w:val="005816FE"/>
    <w:rsid w:val="005A35C9"/>
    <w:rsid w:val="005C0B28"/>
    <w:rsid w:val="005C25E4"/>
    <w:rsid w:val="005F60C6"/>
    <w:rsid w:val="00607D3F"/>
    <w:rsid w:val="00617CB5"/>
    <w:rsid w:val="0062487E"/>
    <w:rsid w:val="00632D6A"/>
    <w:rsid w:val="00644B85"/>
    <w:rsid w:val="00661958"/>
    <w:rsid w:val="00664619"/>
    <w:rsid w:val="00684304"/>
    <w:rsid w:val="00696B11"/>
    <w:rsid w:val="006C1F23"/>
    <w:rsid w:val="006C5290"/>
    <w:rsid w:val="006C6632"/>
    <w:rsid w:val="006D754A"/>
    <w:rsid w:val="006E0CD5"/>
    <w:rsid w:val="00714E47"/>
    <w:rsid w:val="007320CC"/>
    <w:rsid w:val="00740D15"/>
    <w:rsid w:val="00775AD9"/>
    <w:rsid w:val="007932A8"/>
    <w:rsid w:val="007B3491"/>
    <w:rsid w:val="007E71F5"/>
    <w:rsid w:val="008114AF"/>
    <w:rsid w:val="00814F1E"/>
    <w:rsid w:val="00822004"/>
    <w:rsid w:val="00822A1F"/>
    <w:rsid w:val="00830DBD"/>
    <w:rsid w:val="0084072F"/>
    <w:rsid w:val="008A76A4"/>
    <w:rsid w:val="008C1178"/>
    <w:rsid w:val="008F152D"/>
    <w:rsid w:val="00902E67"/>
    <w:rsid w:val="00917BAA"/>
    <w:rsid w:val="00925ECB"/>
    <w:rsid w:val="009260C1"/>
    <w:rsid w:val="00950321"/>
    <w:rsid w:val="009560C7"/>
    <w:rsid w:val="0095725E"/>
    <w:rsid w:val="009A0DE2"/>
    <w:rsid w:val="009A4D50"/>
    <w:rsid w:val="009B64DD"/>
    <w:rsid w:val="009C1D29"/>
    <w:rsid w:val="00A01EAF"/>
    <w:rsid w:val="00A1517E"/>
    <w:rsid w:val="00A46DB4"/>
    <w:rsid w:val="00A53378"/>
    <w:rsid w:val="00A73504"/>
    <w:rsid w:val="00A80FB2"/>
    <w:rsid w:val="00A848C0"/>
    <w:rsid w:val="00AA46E1"/>
    <w:rsid w:val="00AC59A8"/>
    <w:rsid w:val="00AF4894"/>
    <w:rsid w:val="00B032AB"/>
    <w:rsid w:val="00B05BE7"/>
    <w:rsid w:val="00B42849"/>
    <w:rsid w:val="00B71DB6"/>
    <w:rsid w:val="00B74C6D"/>
    <w:rsid w:val="00BB2165"/>
    <w:rsid w:val="00BC10F3"/>
    <w:rsid w:val="00C0001E"/>
    <w:rsid w:val="00C51126"/>
    <w:rsid w:val="00C516C7"/>
    <w:rsid w:val="00C61C5A"/>
    <w:rsid w:val="00C64BB6"/>
    <w:rsid w:val="00C6628D"/>
    <w:rsid w:val="00C71931"/>
    <w:rsid w:val="00C85D7A"/>
    <w:rsid w:val="00C974F9"/>
    <w:rsid w:val="00CB3CB7"/>
    <w:rsid w:val="00CC2FC4"/>
    <w:rsid w:val="00CC717B"/>
    <w:rsid w:val="00CF5A49"/>
    <w:rsid w:val="00CF60D3"/>
    <w:rsid w:val="00CF7FCA"/>
    <w:rsid w:val="00D02BC8"/>
    <w:rsid w:val="00D031D6"/>
    <w:rsid w:val="00D33A54"/>
    <w:rsid w:val="00D362AA"/>
    <w:rsid w:val="00D36BE4"/>
    <w:rsid w:val="00D61654"/>
    <w:rsid w:val="00D61E6E"/>
    <w:rsid w:val="00D63DE7"/>
    <w:rsid w:val="00D64807"/>
    <w:rsid w:val="00D655B4"/>
    <w:rsid w:val="00D7179A"/>
    <w:rsid w:val="00D75C23"/>
    <w:rsid w:val="00D81538"/>
    <w:rsid w:val="00DC585A"/>
    <w:rsid w:val="00DD48A3"/>
    <w:rsid w:val="00E125B2"/>
    <w:rsid w:val="00E168DE"/>
    <w:rsid w:val="00E23416"/>
    <w:rsid w:val="00E25B8B"/>
    <w:rsid w:val="00E31A2A"/>
    <w:rsid w:val="00E55508"/>
    <w:rsid w:val="00E84669"/>
    <w:rsid w:val="00E933FD"/>
    <w:rsid w:val="00EA5679"/>
    <w:rsid w:val="00EC2DFA"/>
    <w:rsid w:val="00EE0F86"/>
    <w:rsid w:val="00EF077D"/>
    <w:rsid w:val="00F22463"/>
    <w:rsid w:val="00F27583"/>
    <w:rsid w:val="00F50EAE"/>
    <w:rsid w:val="00F536E5"/>
    <w:rsid w:val="00F7547A"/>
    <w:rsid w:val="00F94BA1"/>
    <w:rsid w:val="00FA1319"/>
    <w:rsid w:val="00FA1B76"/>
    <w:rsid w:val="00FA2738"/>
    <w:rsid w:val="00FA361E"/>
    <w:rsid w:val="00FC2EA0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7ADD8"/>
  <w15:chartTrackingRefBased/>
  <w15:docId w15:val="{D6C25E7F-3FFD-43E2-87F0-5FBCCAC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FB2"/>
    <w:pPr>
      <w:spacing w:line="360" w:lineRule="auto"/>
      <w:jc w:val="both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126"/>
    <w:pPr>
      <w:keepNext/>
      <w:keepLines/>
      <w:numPr>
        <w:numId w:val="7"/>
      </w:numPr>
      <w:spacing w:before="240" w:after="0"/>
      <w:outlineLvl w:val="0"/>
    </w:pPr>
    <w:rPr>
      <w:rFonts w:ascii="Montserrat" w:eastAsiaTheme="majorEastAsia" w:hAnsi="Montserrat" w:cstheme="majorBidi"/>
      <w:color w:val="00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126"/>
    <w:pPr>
      <w:keepNext/>
      <w:keepLines/>
      <w:numPr>
        <w:ilvl w:val="1"/>
        <w:numId w:val="7"/>
      </w:numPr>
      <w:spacing w:before="40" w:after="0"/>
      <w:outlineLvl w:val="1"/>
    </w:pPr>
    <w:rPr>
      <w:rFonts w:ascii="Montserrat" w:eastAsiaTheme="majorEastAsia" w:hAnsi="Montserrat" w:cstheme="majorBidi"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126"/>
    <w:pPr>
      <w:keepNext/>
      <w:keepLines/>
      <w:numPr>
        <w:ilvl w:val="2"/>
        <w:numId w:val="7"/>
      </w:numPr>
      <w:spacing w:before="40" w:after="0"/>
      <w:outlineLvl w:val="2"/>
    </w:pPr>
    <w:rPr>
      <w:rFonts w:ascii="Montserrat" w:eastAsiaTheme="majorEastAsia" w:hAnsi="Montserrat" w:cstheme="majorBid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DE2"/>
    <w:pPr>
      <w:keepNext/>
      <w:keepLines/>
      <w:numPr>
        <w:ilvl w:val="3"/>
        <w:numId w:val="7"/>
      </w:numPr>
      <w:spacing w:before="40" w:after="0"/>
      <w:outlineLvl w:val="3"/>
    </w:pPr>
    <w:rPr>
      <w:rFonts w:ascii="Montserrat" w:eastAsiaTheme="majorEastAsia" w:hAnsi="Montserrat" w:cstheme="majorBidi"/>
      <w:i/>
      <w:iCs/>
      <w:color w:val="9FAEE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126"/>
    <w:pPr>
      <w:keepNext/>
      <w:keepLines/>
      <w:numPr>
        <w:ilvl w:val="4"/>
        <w:numId w:val="7"/>
      </w:numPr>
      <w:spacing w:before="40" w:after="0"/>
      <w:outlineLvl w:val="4"/>
    </w:pPr>
    <w:rPr>
      <w:rFonts w:ascii="Montserrat" w:eastAsiaTheme="majorEastAsia" w:hAnsi="Montserrat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17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17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17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17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126"/>
    <w:rPr>
      <w:rFonts w:ascii="Montserrat" w:eastAsiaTheme="majorEastAsia" w:hAnsi="Montserrat" w:cstheme="majorBidi"/>
      <w:color w:val="003399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4BA1"/>
    <w:pPr>
      <w:numPr>
        <w:numId w:val="0"/>
      </w:num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1126"/>
    <w:rPr>
      <w:rFonts w:ascii="Montserrat" w:eastAsiaTheme="majorEastAsia" w:hAnsi="Montserrat" w:cstheme="majorBidi"/>
      <w:color w:val="003399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C11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1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C117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126"/>
    <w:rPr>
      <w:rFonts w:ascii="Montserrat" w:eastAsiaTheme="majorEastAsia" w:hAnsi="Montserrat" w:cstheme="majorBidi"/>
      <w:color w:val="0033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DE2"/>
    <w:rPr>
      <w:rFonts w:ascii="Montserrat" w:eastAsiaTheme="majorEastAsia" w:hAnsi="Montserrat" w:cstheme="majorBidi"/>
      <w:i/>
      <w:iCs/>
      <w:color w:val="9FAEE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126"/>
    <w:rPr>
      <w:rFonts w:ascii="Montserrat" w:eastAsiaTheme="majorEastAsia" w:hAnsi="Montserrat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1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1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1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1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85A"/>
    <w:pPr>
      <w:spacing w:after="200" w:line="276" w:lineRule="auto"/>
      <w:ind w:left="720"/>
      <w:contextualSpacing/>
    </w:pPr>
    <w:rPr>
      <w:rFonts w:eastAsia="Calibri" w:cs="Arial"/>
      <w:sz w:val="20"/>
    </w:rPr>
  </w:style>
  <w:style w:type="paragraph" w:customStyle="1" w:styleId="Default">
    <w:name w:val="Default"/>
    <w:qFormat/>
    <w:rsid w:val="00D36BE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8">
    <w:name w:val="A18"/>
    <w:uiPriority w:val="99"/>
    <w:rsid w:val="00D36BE4"/>
    <w:rPr>
      <w:rFonts w:cs="Open Sans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F7FCA"/>
    <w:pPr>
      <w:spacing w:after="100"/>
      <w:ind w:left="440"/>
    </w:pPr>
  </w:style>
  <w:style w:type="paragraph" w:customStyle="1" w:styleId="Normal1">
    <w:name w:val="Normal1"/>
    <w:qFormat/>
    <w:rsid w:val="00023149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  <w:style w:type="table" w:styleId="TableGrid">
    <w:name w:val="Table Grid"/>
    <w:basedOn w:val="TableNormal"/>
    <w:uiPriority w:val="39"/>
    <w:rsid w:val="0064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9">
    <w:name w:val="Pa79"/>
    <w:basedOn w:val="Default"/>
    <w:next w:val="Default"/>
    <w:uiPriority w:val="99"/>
    <w:rsid w:val="007B349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91"/>
  </w:style>
  <w:style w:type="paragraph" w:styleId="Footer">
    <w:name w:val="footer"/>
    <w:basedOn w:val="Normal"/>
    <w:link w:val="FooterChar"/>
    <w:uiPriority w:val="99"/>
    <w:unhideWhenUsed/>
    <w:rsid w:val="007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91"/>
  </w:style>
  <w:style w:type="character" w:customStyle="1" w:styleId="A14">
    <w:name w:val="A14"/>
    <w:uiPriority w:val="99"/>
    <w:rsid w:val="00F536E5"/>
    <w:rPr>
      <w:rFonts w:cs="Open Sans"/>
      <w:b/>
      <w:bC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A0DE2"/>
    <w:pPr>
      <w:spacing w:after="200" w:line="240" w:lineRule="auto"/>
    </w:pPr>
    <w:rPr>
      <w:i/>
      <w:iCs/>
      <w:color w:val="00339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218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FormTitle">
    <w:name w:val="Form Title"/>
    <w:basedOn w:val="Normal"/>
    <w:next w:val="Normal"/>
    <w:uiPriority w:val="2"/>
    <w:semiHidden/>
    <w:rsid w:val="000B3218"/>
    <w:pPr>
      <w:keepNext/>
      <w:tabs>
        <w:tab w:val="left" w:pos="720"/>
      </w:tabs>
      <w:spacing w:after="0" w:line="370" w:lineRule="exact"/>
      <w:outlineLvl w:val="1"/>
    </w:pPr>
    <w:rPr>
      <w:rFonts w:ascii="Times New Roman" w:eastAsiaTheme="minorEastAsia" w:hAnsi="Times New Roman" w:cs="Times New Roman"/>
      <w:b/>
      <w:sz w:val="36"/>
      <w:szCs w:val="24"/>
      <w:lang w:eastAsia="en-GB"/>
    </w:rPr>
  </w:style>
  <w:style w:type="paragraph" w:styleId="NoSpacing">
    <w:name w:val="No Spacing"/>
    <w:uiPriority w:val="1"/>
    <w:qFormat/>
    <w:rsid w:val="000B3218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ListTable3-Accent4">
    <w:name w:val="List Table 3 Accent 4"/>
    <w:basedOn w:val="TableNormal"/>
    <w:uiPriority w:val="48"/>
    <w:rsid w:val="001C4EE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D031D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mmentText">
    <w:name w:val="annotation text"/>
    <w:basedOn w:val="Normal"/>
    <w:link w:val="CommentTextChar"/>
    <w:rsid w:val="00925ECB"/>
    <w:pPr>
      <w:spacing w:after="0" w:line="240" w:lineRule="auto"/>
    </w:pPr>
    <w:rPr>
      <w:rFonts w:eastAsia="SimSu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925ECB"/>
    <w:rPr>
      <w:rFonts w:ascii="Open Sans" w:eastAsia="SimSun" w:hAnsi="Open Sans" w:cs="Times New Roman"/>
      <w:sz w:val="20"/>
      <w:szCs w:val="20"/>
      <w:lang w:val="en-US" w:eastAsia="zh-CN"/>
    </w:rPr>
  </w:style>
  <w:style w:type="paragraph" w:customStyle="1" w:styleId="Pa7">
    <w:name w:val="Pa7"/>
    <w:basedOn w:val="Default"/>
    <w:next w:val="Default"/>
    <w:uiPriority w:val="99"/>
    <w:rsid w:val="00555F91"/>
    <w:pPr>
      <w:spacing w:line="22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555F91"/>
    <w:rPr>
      <w:rFonts w:cs="Open Sans"/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555F91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55F91"/>
    <w:pPr>
      <w:spacing w:line="241" w:lineRule="atLeast"/>
    </w:pPr>
    <w:rPr>
      <w:rFonts w:ascii="Open Sans Semibold" w:hAnsi="Open Sans Semibold" w:cstheme="minorBidi"/>
      <w:color w:val="auto"/>
    </w:rPr>
  </w:style>
  <w:style w:type="character" w:customStyle="1" w:styleId="A8">
    <w:name w:val="A8"/>
    <w:uiPriority w:val="99"/>
    <w:rsid w:val="00555F91"/>
    <w:rPr>
      <w:rFonts w:cs="Open Sans Semibold"/>
      <w:b/>
      <w:bCs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32D6A"/>
    <w:pPr>
      <w:widowControl w:val="0"/>
      <w:autoSpaceDE w:val="0"/>
      <w:autoSpaceDN w:val="0"/>
      <w:spacing w:after="0" w:line="240" w:lineRule="auto"/>
      <w:jc w:val="left"/>
    </w:pPr>
    <w:rPr>
      <w:rFonts w:ascii="Arial Black" w:eastAsia="Arial Black" w:hAnsi="Arial Black" w:cs="Arial Black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2D6A"/>
    <w:rPr>
      <w:rFonts w:ascii="Arial Black" w:eastAsia="Arial Black" w:hAnsi="Arial Black" w:cs="Arial Black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2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mail.trustwave.com/?c=17268&amp;d=0ZuD3cbfrgBvg8DCcHTIsfgVGfIizK8merXAkxL9Jw&amp;s=5&amp;u=https%3a%2f%2fsetis%2eec%2eeuropa%2eeu%2fsites%2fdefault%2ffiles%2freports%2f2014-JRC-Ocean-Energy-Status-Report%2epdf" TargetMode="External"/><Relationship Id="rId13" Type="http://schemas.openxmlformats.org/officeDocument/2006/relationships/hyperlink" Target="https://www.etipocean.eu/assets/Uploads/ETIP-Ocean-Integrated-Strategy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ceanenergysystems.org/documents/73666-oes-vision-2017.pd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europa.eu/resource/cellar/03c9b48d-66af-11e7-b2f2-01aa75ed71a1.0001.01/DOC_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ceanenergy-europe.eu/wp-content/uploads/2017/03/TPOcean-Strategic_Research_Agenda_Nov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maritimeforum/sites/maritimeforum/files/OceanEnergyForum_Roadmap_Online_Version_08Nov201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4A05-F09C-4370-AFD7-268FCAD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Coppinger Darren</dc:creator>
  <cp:keywords/>
  <dc:description/>
  <cp:lastModifiedBy>Coppinger Darren</cp:lastModifiedBy>
  <cp:revision>19</cp:revision>
  <cp:lastPrinted>2019-04-10T11:15:00Z</cp:lastPrinted>
  <dcterms:created xsi:type="dcterms:W3CDTF">2019-05-28T14:37:00Z</dcterms:created>
  <dcterms:modified xsi:type="dcterms:W3CDTF">2019-06-14T13:21:00Z</dcterms:modified>
</cp:coreProperties>
</file>